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CFD" w:rsidRDefault="00D52CFD" w:rsidP="00877EC9">
      <w:pPr>
        <w:spacing w:after="0" w:line="240" w:lineRule="auto"/>
        <w:ind w:left="4962"/>
      </w:pPr>
      <w:r>
        <w:t>Утвержден</w:t>
      </w:r>
    </w:p>
    <w:p w:rsidR="00D52CFD" w:rsidRDefault="00D52CFD" w:rsidP="00877EC9">
      <w:pPr>
        <w:spacing w:after="0" w:line="240" w:lineRule="auto"/>
        <w:ind w:left="4962"/>
      </w:pPr>
      <w:r>
        <w:t>решением Норильского</w:t>
      </w:r>
    </w:p>
    <w:p w:rsidR="00D52CFD" w:rsidRDefault="00D52CFD" w:rsidP="00877EC9">
      <w:pPr>
        <w:spacing w:after="0" w:line="240" w:lineRule="auto"/>
        <w:ind w:left="4962"/>
      </w:pPr>
      <w:r>
        <w:t>городского Совета депутатов</w:t>
      </w:r>
    </w:p>
    <w:p w:rsidR="00D52CFD" w:rsidRDefault="00D52CFD" w:rsidP="00877EC9">
      <w:pPr>
        <w:spacing w:after="0" w:line="240" w:lineRule="auto"/>
        <w:ind w:left="4962"/>
      </w:pPr>
      <w:r>
        <w:t xml:space="preserve">от </w:t>
      </w:r>
      <w:r w:rsidR="00877EC9">
        <w:t>29 октября</w:t>
      </w:r>
      <w:r>
        <w:t xml:space="preserve"> 201</w:t>
      </w:r>
      <w:r w:rsidR="00877EC9">
        <w:t>9</w:t>
      </w:r>
      <w:r>
        <w:t xml:space="preserve"> года № </w:t>
      </w:r>
      <w:r w:rsidR="008B1A5E">
        <w:t>16/5-362</w:t>
      </w:r>
    </w:p>
    <w:p w:rsidR="00D52CFD" w:rsidRDefault="00D52CFD" w:rsidP="00D52CFD">
      <w:pPr>
        <w:spacing w:after="0" w:line="240" w:lineRule="auto"/>
        <w:ind w:left="5245"/>
        <w:jc w:val="center"/>
        <w:rPr>
          <w:b/>
        </w:rPr>
      </w:pPr>
    </w:p>
    <w:p w:rsidR="00D52CFD" w:rsidRDefault="00D52CFD" w:rsidP="004D50B7">
      <w:pPr>
        <w:spacing w:after="0" w:line="240" w:lineRule="auto"/>
        <w:jc w:val="center"/>
        <w:rPr>
          <w:b/>
        </w:rPr>
      </w:pPr>
    </w:p>
    <w:p w:rsidR="00D52CFD" w:rsidRDefault="00D52CFD" w:rsidP="004D50B7">
      <w:pPr>
        <w:spacing w:after="0" w:line="240" w:lineRule="auto"/>
        <w:jc w:val="center"/>
        <w:rPr>
          <w:b/>
        </w:rPr>
      </w:pPr>
    </w:p>
    <w:p w:rsidR="00877EC9" w:rsidRDefault="00877EC9" w:rsidP="00877EC9">
      <w:pPr>
        <w:spacing w:after="0" w:line="240" w:lineRule="auto"/>
        <w:jc w:val="center"/>
        <w:rPr>
          <w:b/>
        </w:rPr>
      </w:pPr>
      <w:r>
        <w:rPr>
          <w:b/>
        </w:rPr>
        <w:t xml:space="preserve">Отчёт о работе Норильского городского Совета депутатов </w:t>
      </w:r>
    </w:p>
    <w:p w:rsidR="00877EC9" w:rsidRDefault="00877EC9" w:rsidP="00877EC9">
      <w:pPr>
        <w:spacing w:after="0" w:line="240" w:lineRule="auto"/>
        <w:jc w:val="center"/>
        <w:rPr>
          <w:b/>
        </w:rPr>
      </w:pPr>
      <w:r>
        <w:rPr>
          <w:b/>
        </w:rPr>
        <w:t>(с сентября 2018 года по сентябрь 2019 года)</w:t>
      </w:r>
    </w:p>
    <w:p w:rsidR="00877EC9" w:rsidRDefault="00877EC9" w:rsidP="00877EC9">
      <w:pPr>
        <w:spacing w:after="0" w:line="240" w:lineRule="auto"/>
        <w:jc w:val="center"/>
        <w:rPr>
          <w:b/>
        </w:rPr>
      </w:pPr>
    </w:p>
    <w:p w:rsidR="00877EC9" w:rsidRDefault="00877EC9" w:rsidP="00877EC9">
      <w:pPr>
        <w:spacing w:after="0" w:line="240" w:lineRule="auto"/>
        <w:jc w:val="both"/>
      </w:pPr>
      <w:r>
        <w:rPr>
          <w:b/>
        </w:rPr>
        <w:tab/>
      </w:r>
      <w:r>
        <w:t xml:space="preserve">5 созыв Норильского городского Совета депутатов был избран в ходе Единого дня голосования 10 сентября 2017 года по смешанной (мажоритарно-пропорциональной) системе. Из 35 депутатов 25 представляют партию «Единая Россия», в том числе 12 парламентариев избраны по </w:t>
      </w:r>
      <w:proofErr w:type="spellStart"/>
      <w:r>
        <w:t>трёхмандатным</w:t>
      </w:r>
      <w:proofErr w:type="spellEnd"/>
      <w:r>
        <w:t xml:space="preserve"> избирательным округам, 5 – представители ЛДПР, 3 – Справедливой </w:t>
      </w:r>
      <w:proofErr w:type="gramStart"/>
      <w:r>
        <w:t xml:space="preserve">России,   </w:t>
      </w:r>
      <w:proofErr w:type="gramEnd"/>
      <w:r>
        <w:t xml:space="preserve">          2 – Российской экологической партии «Зелёные». В Городском Совете на данный момент осуществляют свою деятельность 4 депутатских фракции – от партий «Единая Россия», ЛДПР, «Справедливая Россия» и «Зелёные». </w:t>
      </w:r>
    </w:p>
    <w:p w:rsidR="00877EC9" w:rsidRDefault="00877EC9" w:rsidP="00877EC9">
      <w:pPr>
        <w:spacing w:after="0" w:line="240" w:lineRule="auto"/>
        <w:jc w:val="both"/>
      </w:pPr>
      <w:r>
        <w:tab/>
        <w:t>В настоящее время в Городском Совете работает 5 депутатских комиссий:</w:t>
      </w:r>
    </w:p>
    <w:p w:rsidR="00877EC9" w:rsidRDefault="00877EC9" w:rsidP="00877EC9">
      <w:pPr>
        <w:spacing w:after="0" w:line="240" w:lineRule="auto"/>
        <w:jc w:val="both"/>
      </w:pPr>
      <w:r>
        <w:tab/>
        <w:t>- по законности и местному самоуправлению (12 депутатов);</w:t>
      </w:r>
    </w:p>
    <w:p w:rsidR="00877EC9" w:rsidRDefault="00877EC9" w:rsidP="00877EC9">
      <w:pPr>
        <w:spacing w:after="0" w:line="240" w:lineRule="auto"/>
        <w:jc w:val="both"/>
      </w:pPr>
      <w:r>
        <w:tab/>
        <w:t>- по социальной политике (18 депутатов);</w:t>
      </w:r>
    </w:p>
    <w:p w:rsidR="00877EC9" w:rsidRDefault="00877EC9" w:rsidP="00877EC9">
      <w:pPr>
        <w:spacing w:after="0" w:line="240" w:lineRule="auto"/>
        <w:jc w:val="both"/>
      </w:pPr>
      <w:r>
        <w:tab/>
        <w:t>- по городскому хозяйству (18 депутатов);</w:t>
      </w:r>
    </w:p>
    <w:p w:rsidR="00877EC9" w:rsidRDefault="00877EC9" w:rsidP="00877EC9">
      <w:pPr>
        <w:spacing w:after="0" w:line="240" w:lineRule="auto"/>
        <w:jc w:val="both"/>
      </w:pPr>
      <w:r>
        <w:tab/>
        <w:t>- по бюджету и собственности (17 депутатов);</w:t>
      </w:r>
    </w:p>
    <w:p w:rsidR="00877EC9" w:rsidRDefault="00877EC9" w:rsidP="00877EC9">
      <w:pPr>
        <w:spacing w:after="0" w:line="240" w:lineRule="auto"/>
        <w:jc w:val="both"/>
      </w:pPr>
      <w:r>
        <w:tab/>
        <w:t>- мандатная (счётная) комиссия (5 депутатов).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В отчётном периоде сменился председатель депутатской комиссии по социальной политике. На основании личного заявления полномочия председателя данной комиссии Владимира Витальевича Бондаря, возглавлявшего комиссию с 2012 года, были прекращены. В ходе 11 сессии Городского Совета депутатский корпус избрал нового председателя. Фракциями были предложены две кандидатуры: Ларисы Анатольевны Непляхович и Натальи </w:t>
      </w:r>
      <w:proofErr w:type="spellStart"/>
      <w:r>
        <w:t>Алмазовны</w:t>
      </w:r>
      <w:proofErr w:type="spellEnd"/>
      <w:r>
        <w:t xml:space="preserve"> Плотниковой. Поскольку Плотникова Н.А. взяла самоотвод, на основании очного голосования председателем постоянной комиссии Городского Совета по социальной политике была избрана Непляхович Л.А.</w:t>
      </w:r>
    </w:p>
    <w:p w:rsidR="00877EC9" w:rsidRDefault="00877EC9" w:rsidP="00877EC9">
      <w:pPr>
        <w:spacing w:after="0" w:line="240" w:lineRule="auto"/>
        <w:jc w:val="both"/>
      </w:pPr>
      <w:r>
        <w:tab/>
        <w:t>За отчётный период было проведено 9 очередных сессий Городского Совета, на которых было принято 191 решение, в том числе в области:</w:t>
      </w:r>
    </w:p>
    <w:p w:rsidR="00877EC9" w:rsidRDefault="00877EC9" w:rsidP="00877EC9">
      <w:pPr>
        <w:spacing w:after="0" w:line="240" w:lineRule="auto"/>
        <w:jc w:val="both"/>
      </w:pPr>
      <w:r>
        <w:tab/>
        <w:t>- законности и местного самоуправления – 27</w:t>
      </w:r>
    </w:p>
    <w:p w:rsidR="00877EC9" w:rsidRDefault="00877EC9" w:rsidP="00877EC9">
      <w:pPr>
        <w:spacing w:after="0" w:line="240" w:lineRule="auto"/>
        <w:jc w:val="both"/>
      </w:pPr>
      <w:r>
        <w:tab/>
        <w:t>- социальной политики – 17</w:t>
      </w:r>
    </w:p>
    <w:p w:rsidR="00877EC9" w:rsidRDefault="00877EC9" w:rsidP="00877EC9">
      <w:pPr>
        <w:spacing w:after="0" w:line="240" w:lineRule="auto"/>
        <w:jc w:val="both"/>
      </w:pPr>
      <w:r>
        <w:tab/>
        <w:t>- городского хозяйства – 45</w:t>
      </w:r>
    </w:p>
    <w:p w:rsidR="00877EC9" w:rsidRDefault="00877EC9" w:rsidP="00877EC9">
      <w:pPr>
        <w:spacing w:after="0" w:line="240" w:lineRule="auto"/>
        <w:jc w:val="both"/>
      </w:pPr>
      <w:r>
        <w:tab/>
        <w:t>- бюджета и собственности – 53</w:t>
      </w:r>
    </w:p>
    <w:p w:rsidR="00877EC9" w:rsidRDefault="00877EC9" w:rsidP="00877EC9">
      <w:pPr>
        <w:spacing w:after="0" w:line="240" w:lineRule="auto"/>
        <w:jc w:val="both"/>
      </w:pPr>
      <w:r>
        <w:tab/>
        <w:t>- разное – 49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Помимо сессионных решений, депутатский корпус рассматривает и согласовывает проекты всех муниципальных программ, отчёты об их исполнении в течение года, план муниципальных пассажирских перевозок, а также сводный титульный список на проведение ремонта многоквартирных домов. Представители депутатского корпуса входят в составы различных комиссий, советов и рабочих групп: Инвестиционный Совет, Градостроительный Совет, бюджетная комиссия, Совет по строительству и сохранению жилищного фонда, </w:t>
      </w:r>
      <w:r>
        <w:lastRenderedPageBreak/>
        <w:t>Координационный Совет по социально-экономическому развитию и другие коллегиальные органы.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Как и в предыдущий год работы деятельность Городского Совета осуществляется в тесном взаимодействии с Администрацией Норильска, Контрольно-счётной палатой и надзорными органами.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В апреле 2019 года в целях повышения эффективности взаимодействия в сфере муниципального нормотворчества по вопросам деятельности железнодорожного, воздушного, внутреннего водного и морского транспорта и в таможенной сфере между Городским Советом и Норильской транспортной прокуратурой было подписано соответствующее соглашение.</w:t>
      </w:r>
    </w:p>
    <w:p w:rsidR="00877EC9" w:rsidRDefault="00877EC9" w:rsidP="00877EC9">
      <w:pPr>
        <w:spacing w:after="0" w:line="240" w:lineRule="auto"/>
        <w:ind w:firstLine="709"/>
        <w:jc w:val="both"/>
      </w:pPr>
      <w:r>
        <w:t>Немаловажным аспектом эффективной работы Городского Совета является взаимодействие с прокуратурой города Норильска. В соответствии с соглашением, заключённым между Городским Советом и прокуратурой, замечания надзорного органа учитываются ещё на стадии проектов нормативных правовых актов, что позволяет полностью исключить принятие решений, противоречащих действующему законодательству.</w:t>
      </w:r>
    </w:p>
    <w:p w:rsidR="00877EC9" w:rsidRDefault="00877EC9" w:rsidP="00877EC9">
      <w:pPr>
        <w:spacing w:after="0" w:line="240" w:lineRule="auto"/>
        <w:jc w:val="both"/>
      </w:pPr>
      <w:r>
        <w:tab/>
        <w:t>Помимо этого, для проведения независимой антикоррупционной экспертизы все проекты нормативных правовых актов размещаются на официальном сайте города Норильска.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Благодаря конструктивной работе, выстроенной в депутатском корпусе в ходе деятельности профильных комиссий, все сессионные решения в большинстве случаев утверждаются единогласно. Как и в предыдущий период, значительная часть решений Городского Совета связана с приведением местных нормативных правовых актов в соответствие с постоянно меняющимся действующим законодательством. В настоящее время все сферы жизнедеятельности муниципального образования город Норильск урегулированы соответствующими решениями Городского Совета.</w:t>
      </w:r>
    </w:p>
    <w:p w:rsidR="00877EC9" w:rsidRDefault="00877EC9" w:rsidP="00877EC9">
      <w:pPr>
        <w:spacing w:after="0" w:line="240" w:lineRule="auto"/>
        <w:ind w:firstLine="709"/>
        <w:jc w:val="both"/>
      </w:pPr>
      <w:r>
        <w:t xml:space="preserve">В частности, в декабре 2018 года была утверждена Стратегия развития Норильска до 2030 года – основополагающий документ, включающий в себя главные целевые ориентиры территории на среднесрочную перспективу. В документе предусмотрено три целевых направления: </w:t>
      </w:r>
    </w:p>
    <w:p w:rsidR="00877EC9" w:rsidRDefault="00877EC9" w:rsidP="00877EC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развитие социальных инфраструктур и человеческого капитала;</w:t>
      </w:r>
    </w:p>
    <w:p w:rsidR="00877EC9" w:rsidRDefault="00877EC9" w:rsidP="00877EC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формирование современной городской среды;</w:t>
      </w:r>
    </w:p>
    <w:p w:rsidR="00877EC9" w:rsidRDefault="00877EC9" w:rsidP="00877EC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>
        <w:t>обеспечение устойчивого экономического роста путем внедрения инновационных технологий.</w:t>
      </w:r>
    </w:p>
    <w:p w:rsidR="00877EC9" w:rsidRDefault="00877EC9" w:rsidP="00877EC9">
      <w:pPr>
        <w:spacing w:after="0" w:line="240" w:lineRule="auto"/>
        <w:ind w:firstLine="709"/>
        <w:jc w:val="both"/>
      </w:pPr>
      <w:r>
        <w:t xml:space="preserve">Основными точками роста в Стратегии-2030 обозначены индустриальная экономика, экология, </w:t>
      </w:r>
      <w:proofErr w:type="spellStart"/>
      <w:r>
        <w:t>цифровизация</w:t>
      </w:r>
      <w:proofErr w:type="spellEnd"/>
      <w:r>
        <w:t>, Арктический инжиниринг, реновация жилищного фонда и Арктический туристический кластер.</w:t>
      </w:r>
    </w:p>
    <w:p w:rsidR="00877EC9" w:rsidRDefault="00877EC9" w:rsidP="00877EC9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181818"/>
          <w:lang w:eastAsia="ru-RU"/>
        </w:rPr>
      </w:pPr>
      <w:r>
        <w:t xml:space="preserve">Ещё один документ, имеющий важное значение для планомерного и стабильного развития муниципального образования город Норильск – мастер-план, который был представлен депутатскому корпусу и широкой общественности в мае 2019 года. Мастер-план был </w:t>
      </w:r>
      <w:r>
        <w:rPr>
          <w:rFonts w:eastAsia="Times New Roman"/>
          <w:bCs/>
          <w:color w:val="181818"/>
          <w:lang w:eastAsia="ru-RU"/>
        </w:rPr>
        <w:t>разработан ООО «Институт территориального планирования «</w:t>
      </w:r>
      <w:proofErr w:type="spellStart"/>
      <w:r>
        <w:rPr>
          <w:rFonts w:eastAsia="Times New Roman"/>
          <w:bCs/>
          <w:color w:val="181818"/>
          <w:lang w:eastAsia="ru-RU"/>
        </w:rPr>
        <w:t>Урбаника</w:t>
      </w:r>
      <w:proofErr w:type="spellEnd"/>
      <w:r>
        <w:rPr>
          <w:rFonts w:eastAsia="Times New Roman"/>
          <w:bCs/>
          <w:color w:val="181818"/>
          <w:lang w:eastAsia="ru-RU"/>
        </w:rPr>
        <w:t>» (г. Санкт-Петербург) при содействии Агентства развития Норильска и участии муниципалитета, «</w:t>
      </w:r>
      <w:proofErr w:type="spellStart"/>
      <w:r>
        <w:rPr>
          <w:rFonts w:eastAsia="Times New Roman"/>
          <w:bCs/>
          <w:color w:val="181818"/>
          <w:lang w:eastAsia="ru-RU"/>
        </w:rPr>
        <w:t>Норникеля</w:t>
      </w:r>
      <w:proofErr w:type="spellEnd"/>
      <w:r>
        <w:rPr>
          <w:rFonts w:eastAsia="Times New Roman"/>
          <w:bCs/>
          <w:color w:val="181818"/>
          <w:lang w:eastAsia="ru-RU"/>
        </w:rPr>
        <w:t xml:space="preserve">» и активных горожан. При этом были учтены итоги проекта «Социальный портрет горожанина», в котором приняли участие около 5000 </w:t>
      </w:r>
      <w:proofErr w:type="spellStart"/>
      <w:r>
        <w:rPr>
          <w:rFonts w:eastAsia="Times New Roman"/>
          <w:bCs/>
          <w:color w:val="181818"/>
          <w:lang w:eastAsia="ru-RU"/>
        </w:rPr>
        <w:t>норильчан</w:t>
      </w:r>
      <w:proofErr w:type="spellEnd"/>
      <w:r>
        <w:rPr>
          <w:rFonts w:eastAsia="Times New Roman"/>
          <w:bCs/>
          <w:color w:val="181818"/>
          <w:lang w:eastAsia="ru-RU"/>
        </w:rPr>
        <w:t xml:space="preserve">. В мастер-плане выделены приоритетные направления </w:t>
      </w:r>
      <w:r>
        <w:rPr>
          <w:rFonts w:eastAsia="Times New Roman"/>
          <w:bCs/>
          <w:color w:val="181818"/>
          <w:lang w:eastAsia="ru-RU"/>
        </w:rPr>
        <w:lastRenderedPageBreak/>
        <w:t>градостроительной политики на ближайшие 10 лет. П</w:t>
      </w:r>
      <w:r>
        <w:rPr>
          <w:rFonts w:eastAsia="Times New Roman"/>
          <w:color w:val="181818"/>
          <w:lang w:eastAsia="ru-RU"/>
        </w:rPr>
        <w:t>редложения разделены на три категории. В первую вошли традиционные городские проекты, которые могут быть модернизированы за счет новых подходов и технологий и реализованы уже в этом году. Второй блок объединил работы, требующие более серьезной подготовки и дополнительного финансирования на местном уровне. В третий вошли проекты, которые возможно осуществить за счет участия в федеральных программах и привлечения масштабного государственного финансирования. В качестве приоритетов градостроительной политики определены 11 направлений: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color w:val="181818"/>
          <w:lang w:eastAsia="ru-RU"/>
        </w:rPr>
      </w:pPr>
      <w:r>
        <w:rPr>
          <w:rFonts w:eastAsia="Times New Roman"/>
          <w:color w:val="181818"/>
          <w:lang w:eastAsia="ru-RU"/>
        </w:rPr>
        <w:t>развитие жилой среды;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color w:val="181818"/>
          <w:lang w:eastAsia="ru-RU"/>
        </w:rPr>
      </w:pPr>
      <w:r>
        <w:rPr>
          <w:rFonts w:eastAsia="Times New Roman"/>
          <w:color w:val="181818"/>
          <w:lang w:eastAsia="ru-RU"/>
        </w:rPr>
        <w:t>развитие общественных пространств;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color w:val="181818"/>
          <w:lang w:eastAsia="ru-RU"/>
        </w:rPr>
      </w:pPr>
      <w:r>
        <w:rPr>
          <w:rFonts w:eastAsia="Times New Roman"/>
          <w:color w:val="181818"/>
          <w:lang w:eastAsia="ru-RU"/>
        </w:rPr>
        <w:t>новое качество социальных сервисов;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color w:val="181818"/>
          <w:lang w:eastAsia="ru-RU"/>
        </w:rPr>
      </w:pPr>
      <w:r>
        <w:rPr>
          <w:rFonts w:eastAsia="Times New Roman"/>
          <w:color w:val="181818"/>
          <w:lang w:eastAsia="ru-RU"/>
        </w:rPr>
        <w:t>новое качество торгово-развлекательной недвижимости;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color w:val="181818"/>
          <w:lang w:eastAsia="ru-RU"/>
        </w:rPr>
      </w:pPr>
      <w:r>
        <w:rPr>
          <w:rFonts w:eastAsia="Times New Roman"/>
          <w:color w:val="181818"/>
          <w:lang w:eastAsia="ru-RU"/>
        </w:rPr>
        <w:t>развитие городской мобильности;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color w:val="181818"/>
          <w:lang w:eastAsia="ru-RU"/>
        </w:rPr>
      </w:pPr>
      <w:r>
        <w:rPr>
          <w:rFonts w:eastAsia="Times New Roman"/>
          <w:color w:val="181818"/>
          <w:lang w:eastAsia="ru-RU"/>
        </w:rPr>
        <w:t xml:space="preserve">создание центра компетенций; 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bCs/>
          <w:color w:val="181818"/>
          <w:lang w:eastAsia="ru-RU"/>
        </w:rPr>
      </w:pPr>
      <w:r>
        <w:rPr>
          <w:rFonts w:eastAsia="Times New Roman"/>
          <w:bCs/>
          <w:color w:val="181818"/>
          <w:lang w:eastAsia="ru-RU"/>
        </w:rPr>
        <w:t>создание исследовательского центра;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bCs/>
          <w:color w:val="181818"/>
          <w:lang w:eastAsia="ru-RU"/>
        </w:rPr>
      </w:pPr>
      <w:r>
        <w:rPr>
          <w:rFonts w:eastAsia="Times New Roman"/>
          <w:bCs/>
          <w:color w:val="181818"/>
          <w:lang w:eastAsia="ru-RU"/>
        </w:rPr>
        <w:t>светлый город;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bCs/>
          <w:color w:val="181818"/>
          <w:lang w:eastAsia="ru-RU"/>
        </w:rPr>
      </w:pPr>
      <w:r>
        <w:rPr>
          <w:rFonts w:eastAsia="Times New Roman"/>
          <w:bCs/>
          <w:color w:val="181818"/>
          <w:lang w:eastAsia="ru-RU"/>
        </w:rPr>
        <w:t>ландшафтный код города;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bCs/>
          <w:color w:val="181818"/>
          <w:lang w:eastAsia="ru-RU"/>
        </w:rPr>
      </w:pPr>
      <w:r>
        <w:rPr>
          <w:rFonts w:eastAsia="Times New Roman"/>
          <w:bCs/>
          <w:color w:val="181818"/>
          <w:lang w:eastAsia="ru-RU"/>
        </w:rPr>
        <w:t>создание событийного центра;</w:t>
      </w:r>
    </w:p>
    <w:p w:rsidR="00877EC9" w:rsidRDefault="00877EC9" w:rsidP="00877EC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eastAsia="Times New Roman"/>
          <w:bCs/>
          <w:color w:val="181818"/>
          <w:lang w:eastAsia="ru-RU"/>
        </w:rPr>
      </w:pPr>
      <w:r>
        <w:rPr>
          <w:rFonts w:eastAsia="Times New Roman"/>
          <w:bCs/>
          <w:color w:val="181818"/>
          <w:lang w:eastAsia="ru-RU"/>
        </w:rPr>
        <w:t>вовлечение горожан в социально-экономическое развитие.</w:t>
      </w:r>
    </w:p>
    <w:p w:rsidR="00877EC9" w:rsidRDefault="00877EC9" w:rsidP="00877EC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color w:val="181818"/>
          <w:lang w:eastAsia="ru-RU"/>
        </w:rPr>
      </w:pPr>
      <w:r>
        <w:rPr>
          <w:rFonts w:eastAsia="Times New Roman"/>
          <w:bCs/>
          <w:color w:val="181818"/>
          <w:lang w:eastAsia="ru-RU"/>
        </w:rPr>
        <w:t>Мероприятия, отражённые в обоих документах – Статегии-2030 и мастер-плане – взаимосвязаны и полностью учитывают особенности социально-экономической ситуации на территории муниципального образования город Норильск. Муниципалитет уже приступил к их реализации. В частности, благоустраиваются общественные пространства, в качестве пилотного проекта установлено три тёплых остановочных пункта, продолжается модернизация инфраструктурных и транспортных объектов, а также работа депутатского корпуса по привлечению бюджетных и внебюджетных инвестиций на территорию.</w:t>
      </w:r>
    </w:p>
    <w:p w:rsidR="00877EC9" w:rsidRDefault="00877EC9" w:rsidP="00877EC9">
      <w:pPr>
        <w:spacing w:after="0" w:line="240" w:lineRule="auto"/>
        <w:jc w:val="both"/>
      </w:pPr>
      <w:r>
        <w:tab/>
        <w:t>Одной из важных составляющих деятельности депутатов Городского Совета является работа с региональными и федеральными органами власти. Ввиду ограниченности полномочий представительного органа Норильска парламентарии для решения различных вопросов, связанных действующим законодательством либо с необходимостью финансирования дополнительных работ, направляют соответствующие инициативы.</w:t>
      </w:r>
    </w:p>
    <w:p w:rsidR="00877EC9" w:rsidRDefault="00877EC9" w:rsidP="00877EC9">
      <w:pPr>
        <w:spacing w:after="0" w:line="240" w:lineRule="auto"/>
        <w:jc w:val="both"/>
        <w:rPr>
          <w:iCs/>
        </w:rPr>
      </w:pPr>
      <w:r>
        <w:tab/>
        <w:t xml:space="preserve">Так, за отчётный период были направлены обращения к депутатам Законодательного Собрания Красноярского края по вопросу реализации в городе Норильске краевых полномочий по </w:t>
      </w:r>
      <w:r>
        <w:rPr>
          <w:iCs/>
        </w:rPr>
        <w:t>проведению текущего ремонта жилых помещений, принадлежащих детям-сиротам, по окончании их пребывания в образовательных организациях (организациях социального обслуживания) и до заселения в указанные помещения. В закон края от 27.12.2005 № 17-4370 соответствующие изменения были внесены 11.07.2019.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Ещё одна проблема территории, которую удалось решить после обращения норильских парламентариев к депутатам Законодательного Собрания Красноярского края и краевое министерство здравоохранения, – приобретение магнитно-резонансного и компьютерного томографов. Поскольку существующие на территории МРТ и КТ полностью не покрывают потребность в обследованиях пациентов норильских больниц и поликлиник, очередь на такие исследования </w:t>
      </w:r>
      <w:r>
        <w:lastRenderedPageBreak/>
        <w:t xml:space="preserve">составляет от месяца до полугода. В настоящее время вопрос решён – в 2020 году МРТ и КТ для Норильска будут приобретены.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Также в адрес депутата Законодательного Собрания Красноярского края Магомедовой Л.В. и краевого министра здравоохранения </w:t>
      </w:r>
      <w:proofErr w:type="spellStart"/>
      <w:r>
        <w:t>Немика</w:t>
      </w:r>
      <w:proofErr w:type="spellEnd"/>
      <w:r>
        <w:t xml:space="preserve"> Б.М. было направлено обращение о необходимости приобретения для нужд КГБУЗ «Норильская межрайонная детская больница» компьютеризированной системы для электроэнцефалографии с синхронным </w:t>
      </w:r>
      <w:proofErr w:type="spellStart"/>
      <w:r>
        <w:t>видеомониторированием</w:t>
      </w:r>
      <w:proofErr w:type="spellEnd"/>
      <w:r>
        <w:t xml:space="preserve"> и рабочей станции для комбинированного ЭКГ- и АД-</w:t>
      </w:r>
      <w:proofErr w:type="spellStart"/>
      <w:r>
        <w:t>мониторирования</w:t>
      </w:r>
      <w:proofErr w:type="spellEnd"/>
      <w:r>
        <w:t>. Данное оборудование необходимо для проведения диагностических исследований детям с патологией центральной нервной системы (эпилепсия, судорожный синдром, ДЦП и пр.) и патологией сердечно-сосудистой системы (пороки развития сердечно-сосудистой системы, нарушения ритма сердца и пр.). В настоящее время вопрос находится на рассмотрении.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Помимо этого, по инициативе Городского Совета были внесены поправки в закон Красноярского края «Об административных правонарушениях» в части исключения из указанного закона административного наказания за деятельность, нарушающую тишину и покой окружающих в период с 22.00 до 09.00, связанную со строительством Многофункционального физкультурно-оздоровительного комплекса (ФОК) по ул. 50 лет Октября на период до 01.10.2020. Данная инициатива обусловлена необходимостью сдачи в срок важного для Норильска спортивного объекта. Соответствующие изменения были внесены в краевой закон на сессии Законодательного Собрания Красноярского края 04.06.2019.</w:t>
      </w:r>
    </w:p>
    <w:p w:rsidR="00877EC9" w:rsidRDefault="00877EC9" w:rsidP="00877EC9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color w:val="000000" w:themeColor="text1"/>
          <w:lang w:eastAsia="ru-RU"/>
        </w:rPr>
      </w:pPr>
      <w:r>
        <w:rPr>
          <w:iCs/>
        </w:rPr>
        <w:tab/>
        <w:t xml:space="preserve">Кроме того, были направлены обращения в региональные органы исполнительной власти, а также в Государственную Думу и Совет Федерации Федерального Собрания РФ </w:t>
      </w:r>
      <w:r>
        <w:t xml:space="preserve">по вопросу строительства здания пожарного депо в жилом образовании </w:t>
      </w:r>
      <w:proofErr w:type="spellStart"/>
      <w:r>
        <w:t>Оганер</w:t>
      </w:r>
      <w:proofErr w:type="spellEnd"/>
      <w:r>
        <w:t xml:space="preserve">, где ввиду предаварийного состояния пожарно-спасательной части № 125 ФГКУ «7 отряд ФПС по Красноярскому краю» требуется строительство нового здания. </w:t>
      </w:r>
      <w:r>
        <w:rPr>
          <w:rFonts w:ascii="inherit" w:eastAsia="Times New Roman" w:hAnsi="inherit" w:cs="Arial"/>
          <w:color w:val="000000" w:themeColor="text1"/>
          <w:lang w:eastAsia="ru-RU"/>
        </w:rPr>
        <w:t>Министерство Российской Федерации по делам гражданской обороны, чрезвычайным ситуациям и ликвидации последствий стихийных бедствий (МЧС РФ) выразило готовность включить финансирование строительства данного объекта в федеральную программу. В настоящее время руководством норильской пожарной части определяется предварительная стоимость указанных работ, ведутся необходимые согласования.</w:t>
      </w:r>
    </w:p>
    <w:p w:rsidR="00877EC9" w:rsidRDefault="00877EC9" w:rsidP="00877EC9">
      <w:pPr>
        <w:spacing w:after="0" w:line="240" w:lineRule="auto"/>
        <w:jc w:val="both"/>
        <w:textAlignment w:val="baseline"/>
      </w:pPr>
      <w:r>
        <w:rPr>
          <w:rFonts w:ascii="inherit" w:eastAsia="Times New Roman" w:hAnsi="inherit" w:cs="Arial"/>
          <w:color w:val="000000" w:themeColor="text1"/>
          <w:lang w:eastAsia="ru-RU"/>
        </w:rPr>
        <w:tab/>
        <w:t xml:space="preserve">Неоднократно в отчётном периоде направлялись обращения в краевое министерство экологии и рационального природопользования </w:t>
      </w:r>
      <w:r>
        <w:t xml:space="preserve">по вопросу принятия мер в связи с нарушением сроков и качества оказания услуг по вывозу ТКО региональным оператором. Активную работу в решении указанной проблемы </w:t>
      </w:r>
      <w:proofErr w:type="gramStart"/>
      <w:r>
        <w:t>проводила</w:t>
      </w:r>
      <w:proofErr w:type="gramEnd"/>
      <w:r>
        <w:t xml:space="preserve"> и Администрация города Норильска. В настоящее время проблема с вывозом ТКО частично урегулирована: ООО «</w:t>
      </w:r>
      <w:proofErr w:type="spellStart"/>
      <w:r>
        <w:t>РостТех</w:t>
      </w:r>
      <w:proofErr w:type="spellEnd"/>
      <w:r>
        <w:t>» закуплена собственная техника (13 мусоровозов, 2 самосвала, 1 погрузчик), дополнительно для выполнения работ привлекается техника других подрядных организаций. Вывоз ТКО сейчас осуществляется ежедневно либо через день.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За отчётный период были направлены обращения в </w:t>
      </w:r>
      <w:r>
        <w:rPr>
          <w:iCs/>
        </w:rPr>
        <w:t xml:space="preserve">Государственную Думу Федерального Собрания РФ </w:t>
      </w:r>
      <w:r>
        <w:t xml:space="preserve">по вопросу внесения изменений в действующее пенсионное законодательство в части возврата к порогу начисления досрочной страховой пенсии по возрасту на отметке 50/55 лет для женщин и мужчин соответственно, а также в части исключения социальной несправедливости: женщины, имеющие трудовой стаж в районах Крайнего Севера не менее 12 лет и </w:t>
      </w:r>
      <w:r>
        <w:lastRenderedPageBreak/>
        <w:t>родившие двух или более детей, по-прежнему уходят на пенсию в 50 лет, тогда как женщины, имеющие такой же трудовой стаж, но родившие одного ребенка либо не имеющие детей, такой привилегии лишены. В настоящее время вопрос находится на рассмотрении.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Также были направлены обращения в Совет Федерации и Государственную Думу Федерального Собрания РФ по вопросу продления действия программы переселения </w:t>
      </w:r>
      <w:proofErr w:type="spellStart"/>
      <w:r>
        <w:t>норильчан</w:t>
      </w:r>
      <w:proofErr w:type="spellEnd"/>
      <w:r>
        <w:t xml:space="preserve"> в благоприятные регионы проживания в рамках четырёхстороннего соглашения на 5 лет (с 2021 по 2025 годы) с восстановлением федерального финансирования. Предварительные консультации с двумя сторонами Соглашения – Красноярским краем и ПАО «ГМК «Норильский никель» – были проведены, договорённость достигнута. В настоящее время при участии депутатов Государственной Думы ФС РФ и Законодательного Собрания Красноярского края, а также сенаторов Совета Федерации ФС РФ ведётся работа по пролонгации действующего Соглашения либо заключению нового. </w:t>
      </w:r>
    </w:p>
    <w:p w:rsidR="00877EC9" w:rsidRDefault="00877EC9" w:rsidP="00877EC9">
      <w:pPr>
        <w:spacing w:after="0" w:line="240" w:lineRule="auto"/>
        <w:jc w:val="both"/>
      </w:pPr>
      <w:r>
        <w:tab/>
        <w:t xml:space="preserve">Основная работа депутатов Городского Совета – общение с избирателями и исполнение их наказов. Все депутаты регулярно ведут приём граждан по личным вопросам. График проведения приёма размещён на сайте города. Кроме того, депутаты принимают участие в Единых днях приёма граждан, которые проводятся в Многофункциональном центре Норильска. За отчётный период были приняты 1038 </w:t>
      </w:r>
      <w:proofErr w:type="spellStart"/>
      <w:r>
        <w:t>норильчан</w:t>
      </w:r>
      <w:proofErr w:type="spellEnd"/>
      <w:r>
        <w:t xml:space="preserve">. Помимо проведения приёмов граждан по личным вопросам, депутаты регулярно встречаются с трудовыми коллективами предприятий и организаций всех форм собственности. В период с сентября 2018 года по сентябрь 2019 года было проведено 208 встреч с коллективами, в ходе которых </w:t>
      </w:r>
      <w:proofErr w:type="spellStart"/>
      <w:r>
        <w:t>норильчане</w:t>
      </w:r>
      <w:proofErr w:type="spellEnd"/>
      <w:r>
        <w:t xml:space="preserve"> задали 573 вопроса. Ниже представлена тематика вопросов, с которыми обращались к депутатам </w:t>
      </w:r>
      <w:proofErr w:type="spellStart"/>
      <w:r>
        <w:t>норильчане</w:t>
      </w:r>
      <w:proofErr w:type="spellEnd"/>
      <w:r>
        <w:t xml:space="preserve"> (с указанием количества и в сравнении с предыдущим отчётным периодом): </w:t>
      </w:r>
    </w:p>
    <w:p w:rsidR="00877EC9" w:rsidRDefault="00877EC9" w:rsidP="00877EC9">
      <w:pPr>
        <w:spacing w:after="0" w:line="240" w:lineRule="auto"/>
        <w:jc w:val="both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88"/>
        <w:gridCol w:w="4029"/>
        <w:gridCol w:w="2222"/>
        <w:gridCol w:w="2222"/>
      </w:tblGrid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  <w:rPr>
                <w:b/>
              </w:rPr>
            </w:pPr>
            <w:r>
              <w:rPr>
                <w:b/>
              </w:rPr>
              <w:t>Тематика обращений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  <w:rPr>
                <w:b/>
              </w:rPr>
            </w:pPr>
            <w:r>
              <w:rPr>
                <w:b/>
              </w:rPr>
              <w:t xml:space="preserve">Кол-во обращений в 2017-2018 </w:t>
            </w:r>
            <w:proofErr w:type="spellStart"/>
            <w:r>
              <w:rPr>
                <w:b/>
              </w:rPr>
              <w:t>г.г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  <w:rPr>
                <w:b/>
              </w:rPr>
            </w:pPr>
            <w:r>
              <w:rPr>
                <w:b/>
              </w:rPr>
              <w:t xml:space="preserve">Кол-во обращений в 2018-2019 </w:t>
            </w:r>
            <w:proofErr w:type="spellStart"/>
            <w:r>
              <w:rPr>
                <w:b/>
              </w:rPr>
              <w:t>г.г</w:t>
            </w:r>
            <w:proofErr w:type="spellEnd"/>
            <w:r>
              <w:rPr>
                <w:b/>
              </w:rPr>
              <w:t>.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1.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Жилищно-коммунальное хозяйство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264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380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2.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Городское хозяйство (благоустройство)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254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165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3.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Переселение из районов Крайнего Севера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91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133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4.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Образование, культура, спорт и молодёжная политика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191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203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5.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Социальная политика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197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203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6.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Труд и занятость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216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515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7.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Торговля и услуги населению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36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48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8.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Транспорт и связь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48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64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9.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Здравоохранение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319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248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10.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Предпринимательство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66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94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11.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Обеспечение законности и правопорядка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71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77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12.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Въезд иностранных граждан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71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58</w:t>
            </w:r>
          </w:p>
        </w:tc>
      </w:tr>
      <w:tr w:rsidR="00877EC9" w:rsidTr="00877EC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lastRenderedPageBreak/>
              <w:t>13.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both"/>
            </w:pPr>
            <w:r>
              <w:t>Иные вопросы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196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</w:pPr>
            <w:r>
              <w:t>154</w:t>
            </w:r>
          </w:p>
        </w:tc>
      </w:tr>
      <w:tr w:rsidR="00877EC9" w:rsidTr="00877EC9"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C9" w:rsidRDefault="00877EC9">
            <w:pPr>
              <w:jc w:val="center"/>
              <w:rPr>
                <w:b/>
              </w:rPr>
            </w:pPr>
            <w:r>
              <w:rPr>
                <w:b/>
              </w:rPr>
              <w:t>2342</w:t>
            </w:r>
          </w:p>
        </w:tc>
      </w:tr>
    </w:tbl>
    <w:p w:rsidR="00877EC9" w:rsidRDefault="00877EC9" w:rsidP="00877EC9">
      <w:pPr>
        <w:spacing w:after="0" w:line="240" w:lineRule="auto"/>
        <w:ind w:firstLine="708"/>
        <w:jc w:val="both"/>
      </w:pP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По всем вопросам, поступившим в адрес депутатов от </w:t>
      </w:r>
      <w:proofErr w:type="spellStart"/>
      <w:r>
        <w:t>норильчан</w:t>
      </w:r>
      <w:proofErr w:type="spellEnd"/>
      <w:r>
        <w:t xml:space="preserve">, даны необходимые разъяснения, оказана консультативная помощь в решении различных проблем. Как видно из таблицы, присутствует рост общего числа обращений. По-прежнему самыми актуальными для </w:t>
      </w:r>
      <w:proofErr w:type="spellStart"/>
      <w:r>
        <w:t>норильчан</w:t>
      </w:r>
      <w:proofErr w:type="spellEnd"/>
      <w:r>
        <w:t xml:space="preserve"> являются вопросы в сфере здравоохранения, жилищно-коммунального хозяйства, социальной политики, переселения из районов Крайнего Севера. Но наибольшее количество обращений в отчётном периоде было связано с трудоустройством. Это свидетельствует о растущем дисбалансе на рынке труда Норильска. По информации специалистов КГКУ «Центр занятости населения города Норильска», на 01.09.2019 количество вакансий составляло 3152, количество </w:t>
      </w:r>
      <w:proofErr w:type="spellStart"/>
      <w:r>
        <w:t>норильчан</w:t>
      </w:r>
      <w:proofErr w:type="spellEnd"/>
      <w:r>
        <w:t xml:space="preserve">, зарегистрированных на бирже труда, – 732 человека. Однако, желающие трудоустроиться не обладают специальностями, которые сегодня востребованы на нашей территории: врачи, медсёстры, фельдшеры, акушеры, провизоры и др. Среди соискателей превалируют специальности бухгалтер, специалист банка, экономист, делопроизводитель, юрист, специалист отдела кадров и т.д.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Важной составляющей в проведении разъяснительной работы с населением являются средства массовой информации и социальные сети. В текущем году в Норильске значительно ухудшилась ситуация со СМИ в связи с закрытием с июня 2019 года ГТРК-Норильск и переходом Красноярского края на цифровое телевещание, из-за которого продукт другой норильской телекомпании, «Новости «Северного города» также потерял значительную часть своего зрителя – сегодня ТРК «Северный город» является сетевым партнёром телеканала «Ключ» (ранее – телеканала «РЕН»), который вещает только в кабельном телевидении. Однако, в связи с запуском цифрового телевещания многие </w:t>
      </w:r>
      <w:proofErr w:type="spellStart"/>
      <w:r>
        <w:t>норильчане</w:t>
      </w:r>
      <w:proofErr w:type="spellEnd"/>
      <w:r>
        <w:t xml:space="preserve"> отказались от услуг кабельных операторов и пользуются коллективной телевизионной антенной. Кроме того, со второго полугодия 2019 года прекратился выпуск одной из норильских газет «Заполярный вестник», что также негативно отразилось на информационном поле Норильска.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Несмотря на сложности, связанные с ликвидацией СМИ на территории, депутаты регулярно становятся спикерами в телевизионных репортажах, статьях и информационных сообщениях. Тематика публикаций охватывает все сферы жизнедеятельности Норильска: городское и жилищно-коммунальное хозяйство, социальная политика, здравоохранение, образование, культура, спорт, развитие социального предпринимательства и т.д.</w:t>
      </w:r>
    </w:p>
    <w:p w:rsidR="00877EC9" w:rsidRDefault="00877EC9" w:rsidP="00877EC9">
      <w:pPr>
        <w:spacing w:after="0" w:line="240" w:lineRule="auto"/>
        <w:ind w:firstLine="708"/>
        <w:jc w:val="both"/>
        <w:rPr>
          <w:i/>
        </w:rPr>
      </w:pPr>
    </w:p>
    <w:p w:rsidR="00877EC9" w:rsidRDefault="00877EC9" w:rsidP="00877EC9">
      <w:pPr>
        <w:spacing w:after="0" w:line="240" w:lineRule="auto"/>
        <w:contextualSpacing/>
        <w:jc w:val="both"/>
      </w:pPr>
      <w:r>
        <w:t>Количество упоминаний о Городском Совете в СМИ за отчётный период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0"/>
        <w:gridCol w:w="4461"/>
      </w:tblGrid>
      <w:tr w:rsidR="00877EC9" w:rsidTr="00877EC9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Наименование СМИ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Кол-во публикаций/ сюжетов за отчётный период</w:t>
            </w:r>
          </w:p>
        </w:tc>
      </w:tr>
      <w:tr w:rsidR="00877EC9" w:rsidTr="00877EC9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ИА «Таймырский телеграф»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</w:tr>
      <w:tr w:rsidR="00877EC9" w:rsidTr="00877EC9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«Заполярный вестник»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877EC9" w:rsidTr="00877EC9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«Заполярная правда»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136</w:t>
            </w:r>
          </w:p>
        </w:tc>
      </w:tr>
      <w:tr w:rsidR="00877EC9" w:rsidTr="00877EC9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ГТРК «Норильск» 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</w:tr>
      <w:tr w:rsidR="00877EC9" w:rsidTr="00877EC9">
        <w:trPr>
          <w:trHeight w:val="47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ТРК «Северный город» 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</w:tr>
      <w:tr w:rsidR="00877EC9" w:rsidTr="00877EC9">
        <w:trPr>
          <w:trHeight w:val="47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ИА «1-Лайн»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877EC9" w:rsidTr="00877EC9">
        <w:trPr>
          <w:trHeight w:val="47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«Парламентская газета»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C9" w:rsidRDefault="00877EC9">
            <w:pPr>
              <w:pStyle w:val="a6"/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</w:tbl>
    <w:p w:rsidR="00877EC9" w:rsidRDefault="00877EC9" w:rsidP="00877EC9">
      <w:pPr>
        <w:spacing w:after="0" w:line="240" w:lineRule="auto"/>
        <w:ind w:firstLine="708"/>
        <w:jc w:val="both"/>
      </w:pP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С учётом снижения количества СМИ в Норильске, всё более актуальными становятся социальные сети. Депутаты Городского Совета в большинстве своём являются активными пользователями </w:t>
      </w:r>
      <w:proofErr w:type="spellStart"/>
      <w:r>
        <w:t>соцсетей</w:t>
      </w:r>
      <w:proofErr w:type="spellEnd"/>
      <w:r>
        <w:t xml:space="preserve">. Народные избранники активно ведут публичную и личную переписку с </w:t>
      </w:r>
      <w:proofErr w:type="spellStart"/>
      <w:r>
        <w:t>норильчанами</w:t>
      </w:r>
      <w:proofErr w:type="spellEnd"/>
      <w:r>
        <w:t xml:space="preserve">, публикуют информационные сообщения, разъясняющие работу представительного органа Норильска, особенности действующего законодательства. В настоящее время представители депутатского корпуса зарегистрированы во всех наиболее популярных социальных сетях: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- «</w:t>
      </w:r>
      <w:r>
        <w:rPr>
          <w:lang w:val="en-US"/>
        </w:rPr>
        <w:t>Facebook</w:t>
      </w:r>
      <w:r>
        <w:t>» – 28 депутатов;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- «</w:t>
      </w:r>
      <w:r>
        <w:rPr>
          <w:lang w:val="en-US"/>
        </w:rPr>
        <w:t>Instagram</w:t>
      </w:r>
      <w:r>
        <w:t>» – 20 депутатов;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- «</w:t>
      </w:r>
      <w:proofErr w:type="spellStart"/>
      <w:r>
        <w:t>Вконтакте</w:t>
      </w:r>
      <w:proofErr w:type="spellEnd"/>
      <w:r>
        <w:t>» – 15 депутатов;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- «Одноклассники» – 1</w:t>
      </w:r>
      <w:r w:rsidR="00860FCA">
        <w:t>8</w:t>
      </w:r>
      <w:r>
        <w:t xml:space="preserve"> депутатов.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Значимой альтернативой общения в социальных сетях являются популярные мессенджеры </w:t>
      </w:r>
      <w:proofErr w:type="spellStart"/>
      <w:r>
        <w:rPr>
          <w:lang w:val="en-US"/>
        </w:rPr>
        <w:t>WhatsApp</w:t>
      </w:r>
      <w:proofErr w:type="spellEnd"/>
      <w:r w:rsidRPr="00877EC9">
        <w:t xml:space="preserve"> </w:t>
      </w:r>
      <w:r>
        <w:t xml:space="preserve">и </w:t>
      </w:r>
      <w:proofErr w:type="spellStart"/>
      <w:r>
        <w:rPr>
          <w:lang w:val="en-US"/>
        </w:rPr>
        <w:t>Viber</w:t>
      </w:r>
      <w:proofErr w:type="spellEnd"/>
      <w:r>
        <w:t>. Норильские депутаты активно используют и этот ресурс взаимодействия с избирателями.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Такой формат общения – в социальных сетях и мессенджерах – является лучшей альтернативой Федерального закона от 02.05.2006 № 59-ФЗ «О порядке рассмотрения обращений граждан Российской Федерации», поскольку получить ответ гражданин может оперативно, зачастую в режиме реального времени, а не в течение 30 дней, как это предусмотрено упомянутым законом. Кроме того, социальные сети и мессенджеры используются </w:t>
      </w:r>
      <w:proofErr w:type="spellStart"/>
      <w:r>
        <w:t>норильчанами</w:t>
      </w:r>
      <w:proofErr w:type="spellEnd"/>
      <w:r>
        <w:t xml:space="preserve"> для записи на личный приём к депутату.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Характерной особенностью социальных сетей является возможность собеседника остаться анонимным, благодаря чему пользователи легко могут высказать своё мнение по тому или иному вопросу, в том числе в нецензурной форме. Тем не менее данный ресурс, являясь отражением мнения отдельной части общества, депутатским корпусом используется также в качестве индикатора при разработке и принятии различных решений. В то же время по причине анонимности собеседника депутаты при работе в </w:t>
      </w:r>
      <w:proofErr w:type="spellStart"/>
      <w:r>
        <w:t>соцсетях</w:t>
      </w:r>
      <w:proofErr w:type="spellEnd"/>
      <w:r>
        <w:t xml:space="preserve"> стали всё чаще сталкиваться с негативом, что отрицательно сказывается на их активности в этих ресурсах. Однако, работа в публичном информационном поле даёт и положительный результат – постепенно снижается количество обращений, связанных с применением местных, краевых и федеральных нормативных правовых актов в различных сферах жизнедеятельности города. 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 xml:space="preserve">Активно норильские депутаты участвуют и в общегородских мероприятиях, благотворительных акциях, часто являясь организаторами и </w:t>
      </w:r>
      <w:proofErr w:type="spellStart"/>
      <w:r>
        <w:t>соорганизаторами</w:t>
      </w:r>
      <w:proofErr w:type="spellEnd"/>
      <w:r>
        <w:t xml:space="preserve"> таких событий. Часто народных избранников приглашают на различные встречи и собрания в качестве экспертов и спикеров. Так, за отчётный период депутаты неоднократно становились активными участниками общегородских субботников, мероприятий в сфере культуры, спорта, образования, развития туризма, жилищно-коммунального и городского хозяйства, благоустройства, различных встреч со школьниками, студентами, </w:t>
      </w:r>
      <w:r>
        <w:lastRenderedPageBreak/>
        <w:t xml:space="preserve">представителями некоммерческих и благотворительных организаций, предпринимательского сообщества, выездных семинарах, форумах и конференциях. Подробную информацию о работе каждого депутата можно найти на официальном сайте города Норильска в соответствующем разделе. </w:t>
      </w:r>
    </w:p>
    <w:p w:rsidR="00877EC9" w:rsidRDefault="00877EC9" w:rsidP="00877EC9">
      <w:pPr>
        <w:spacing w:after="0" w:line="240" w:lineRule="auto"/>
        <w:ind w:firstLine="708"/>
        <w:jc w:val="both"/>
      </w:pPr>
      <w:r>
        <w:t>По итогам очередного года работы депутатского корпуса Норильска 5 созыва основным принципом работы парламентариев можно назвать доступность для населения. Плановые заседания комиссий и сессий Городского Совета по-прежнему являются открытыми для средств массовой информации. Граждане также могут посещать эти мероприятия в соответствии с установленным порядком. Активная работа депутатов со средствами массовой информации, а также в социа</w:t>
      </w:r>
      <w:bookmarkStart w:id="0" w:name="_GoBack"/>
      <w:bookmarkEnd w:id="0"/>
      <w:r>
        <w:t xml:space="preserve">льных сетях и мессенджерах позволяет оперативно доносить до </w:t>
      </w:r>
      <w:proofErr w:type="spellStart"/>
      <w:r>
        <w:t>норильчан</w:t>
      </w:r>
      <w:proofErr w:type="spellEnd"/>
      <w:r>
        <w:t xml:space="preserve"> важную информацию об изменениях в законодательстве, планируемых работах и инициативах Городского Совета, направленных на повышение качества жизни избирателей.   </w:t>
      </w:r>
    </w:p>
    <w:sectPr w:rsidR="00877EC9" w:rsidSect="008538B1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36C" w:rsidRDefault="000D336C" w:rsidP="0060730A">
      <w:pPr>
        <w:spacing w:after="0" w:line="240" w:lineRule="auto"/>
      </w:pPr>
      <w:r>
        <w:separator/>
      </w:r>
    </w:p>
  </w:endnote>
  <w:endnote w:type="continuationSeparator" w:id="0">
    <w:p w:rsidR="000D336C" w:rsidRDefault="000D336C" w:rsidP="0060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481076"/>
      <w:docPartObj>
        <w:docPartGallery w:val="Page Numbers (Bottom of Page)"/>
        <w:docPartUnique/>
      </w:docPartObj>
    </w:sdtPr>
    <w:sdtEndPr/>
    <w:sdtContent>
      <w:p w:rsidR="0060730A" w:rsidRDefault="006073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732">
          <w:rPr>
            <w:noProof/>
          </w:rPr>
          <w:t>8</w:t>
        </w:r>
        <w:r>
          <w:fldChar w:fldCharType="end"/>
        </w:r>
      </w:p>
    </w:sdtContent>
  </w:sdt>
  <w:p w:rsidR="0060730A" w:rsidRDefault="0060730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36C" w:rsidRDefault="000D336C" w:rsidP="0060730A">
      <w:pPr>
        <w:spacing w:after="0" w:line="240" w:lineRule="auto"/>
      </w:pPr>
      <w:r>
        <w:separator/>
      </w:r>
    </w:p>
  </w:footnote>
  <w:footnote w:type="continuationSeparator" w:id="0">
    <w:p w:rsidR="000D336C" w:rsidRDefault="000D336C" w:rsidP="0060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3128F6"/>
    <w:multiLevelType w:val="hybridMultilevel"/>
    <w:tmpl w:val="3B0E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2F65CD"/>
    <w:multiLevelType w:val="hybridMultilevel"/>
    <w:tmpl w:val="3470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7B44AC"/>
    <w:multiLevelType w:val="hybridMultilevel"/>
    <w:tmpl w:val="686A13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0"/>
    <w:rsid w:val="00023B72"/>
    <w:rsid w:val="00046732"/>
    <w:rsid w:val="00054A8F"/>
    <w:rsid w:val="00075479"/>
    <w:rsid w:val="00091083"/>
    <w:rsid w:val="000A6D7E"/>
    <w:rsid w:val="000B0C8A"/>
    <w:rsid w:val="000C1BD3"/>
    <w:rsid w:val="000C3593"/>
    <w:rsid w:val="000D336C"/>
    <w:rsid w:val="000D3F81"/>
    <w:rsid w:val="001013A2"/>
    <w:rsid w:val="0010358B"/>
    <w:rsid w:val="0019483C"/>
    <w:rsid w:val="001D09A2"/>
    <w:rsid w:val="001D5F2E"/>
    <w:rsid w:val="00202AC7"/>
    <w:rsid w:val="002340C0"/>
    <w:rsid w:val="00240D39"/>
    <w:rsid w:val="00273ACE"/>
    <w:rsid w:val="002B2F67"/>
    <w:rsid w:val="002C190F"/>
    <w:rsid w:val="002C62E4"/>
    <w:rsid w:val="002F3740"/>
    <w:rsid w:val="002F5C82"/>
    <w:rsid w:val="003074A3"/>
    <w:rsid w:val="0035014A"/>
    <w:rsid w:val="003C017C"/>
    <w:rsid w:val="003C3393"/>
    <w:rsid w:val="003D673F"/>
    <w:rsid w:val="00421A32"/>
    <w:rsid w:val="00427138"/>
    <w:rsid w:val="004279D4"/>
    <w:rsid w:val="004731FD"/>
    <w:rsid w:val="004908FD"/>
    <w:rsid w:val="00491C4B"/>
    <w:rsid w:val="004B2E7B"/>
    <w:rsid w:val="004C359A"/>
    <w:rsid w:val="004D50B7"/>
    <w:rsid w:val="005329E6"/>
    <w:rsid w:val="005F67CF"/>
    <w:rsid w:val="0060730A"/>
    <w:rsid w:val="006F30E7"/>
    <w:rsid w:val="006F3991"/>
    <w:rsid w:val="006F6298"/>
    <w:rsid w:val="0075792A"/>
    <w:rsid w:val="007A5169"/>
    <w:rsid w:val="007A6197"/>
    <w:rsid w:val="007D0827"/>
    <w:rsid w:val="00801BA5"/>
    <w:rsid w:val="008267F9"/>
    <w:rsid w:val="0085318D"/>
    <w:rsid w:val="008538B1"/>
    <w:rsid w:val="00860FCA"/>
    <w:rsid w:val="00877EC9"/>
    <w:rsid w:val="00880BB7"/>
    <w:rsid w:val="008B1A5E"/>
    <w:rsid w:val="008B7843"/>
    <w:rsid w:val="008E5753"/>
    <w:rsid w:val="00983836"/>
    <w:rsid w:val="00994848"/>
    <w:rsid w:val="009C0319"/>
    <w:rsid w:val="009C39C8"/>
    <w:rsid w:val="009C5995"/>
    <w:rsid w:val="009D2082"/>
    <w:rsid w:val="009E5F7F"/>
    <w:rsid w:val="009F06A3"/>
    <w:rsid w:val="00A11DF1"/>
    <w:rsid w:val="00A343AF"/>
    <w:rsid w:val="00A37159"/>
    <w:rsid w:val="00A57017"/>
    <w:rsid w:val="00A873E5"/>
    <w:rsid w:val="00A87D9D"/>
    <w:rsid w:val="00AB2155"/>
    <w:rsid w:val="00AB49EF"/>
    <w:rsid w:val="00AB7A25"/>
    <w:rsid w:val="00AD6D61"/>
    <w:rsid w:val="00AE38FD"/>
    <w:rsid w:val="00B40C1E"/>
    <w:rsid w:val="00B75446"/>
    <w:rsid w:val="00B81D96"/>
    <w:rsid w:val="00BD7F1A"/>
    <w:rsid w:val="00C3599F"/>
    <w:rsid w:val="00C42282"/>
    <w:rsid w:val="00C458CB"/>
    <w:rsid w:val="00C607CB"/>
    <w:rsid w:val="00C85792"/>
    <w:rsid w:val="00CD17D2"/>
    <w:rsid w:val="00CF7F9C"/>
    <w:rsid w:val="00D36A17"/>
    <w:rsid w:val="00D442CB"/>
    <w:rsid w:val="00D46AEF"/>
    <w:rsid w:val="00D52CFD"/>
    <w:rsid w:val="00D57EB7"/>
    <w:rsid w:val="00D92DC9"/>
    <w:rsid w:val="00DB54A2"/>
    <w:rsid w:val="00DD0EAB"/>
    <w:rsid w:val="00DF50DE"/>
    <w:rsid w:val="00DF7281"/>
    <w:rsid w:val="00E14A20"/>
    <w:rsid w:val="00E3512D"/>
    <w:rsid w:val="00E65678"/>
    <w:rsid w:val="00E66CFF"/>
    <w:rsid w:val="00EC171A"/>
    <w:rsid w:val="00ED16FD"/>
    <w:rsid w:val="00F06D0D"/>
    <w:rsid w:val="00F811B9"/>
    <w:rsid w:val="00FD4471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47A37D-2464-4990-956F-C86BB22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BD7F1A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Constantia" w:eastAsia="Times New Roman" w:hAnsi="Constantia"/>
      <w:sz w:val="24"/>
      <w:szCs w:val="24"/>
      <w:lang w:eastAsia="ru-RU"/>
    </w:rPr>
  </w:style>
  <w:style w:type="character" w:customStyle="1" w:styleId="FontStyle13">
    <w:name w:val="Font Style13"/>
    <w:rsid w:val="00BD7F1A"/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E3512D"/>
    <w:pPr>
      <w:ind w:left="720"/>
      <w:contextualSpacing/>
    </w:pPr>
  </w:style>
  <w:style w:type="paragraph" w:customStyle="1" w:styleId="1">
    <w:name w:val="Красная строка1"/>
    <w:basedOn w:val="a5"/>
    <w:rsid w:val="00C85792"/>
    <w:pPr>
      <w:suppressAutoHyphens/>
      <w:spacing w:line="240" w:lineRule="auto"/>
      <w:ind w:firstLine="210"/>
      <w:jc w:val="both"/>
    </w:pPr>
    <w:rPr>
      <w:rFonts w:eastAsia="Times New Roman" w:cs="Calibri"/>
      <w:sz w:val="24"/>
      <w:szCs w:val="24"/>
      <w:lang w:val="x-none" w:eastAsia="ar-SA"/>
    </w:rPr>
  </w:style>
  <w:style w:type="paragraph" w:styleId="a6">
    <w:name w:val="No Spacing"/>
    <w:uiPriority w:val="1"/>
    <w:qFormat/>
    <w:rsid w:val="00C8579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5">
    <w:name w:val="Body Text"/>
    <w:basedOn w:val="a"/>
    <w:link w:val="a7"/>
    <w:uiPriority w:val="99"/>
    <w:semiHidden/>
    <w:unhideWhenUsed/>
    <w:rsid w:val="00C85792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85792"/>
  </w:style>
  <w:style w:type="paragraph" w:styleId="a8">
    <w:name w:val="Balloon Text"/>
    <w:basedOn w:val="a"/>
    <w:link w:val="a9"/>
    <w:uiPriority w:val="99"/>
    <w:semiHidden/>
    <w:unhideWhenUsed/>
    <w:rsid w:val="000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A8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730A"/>
  </w:style>
  <w:style w:type="paragraph" w:styleId="ac">
    <w:name w:val="footer"/>
    <w:basedOn w:val="a"/>
    <w:link w:val="ad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730A"/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877EC9"/>
  </w:style>
  <w:style w:type="table" w:styleId="ae">
    <w:name w:val="Table Grid"/>
    <w:basedOn w:val="a1"/>
    <w:uiPriority w:val="39"/>
    <w:rsid w:val="0087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3012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Данько Марина Викторовна</cp:lastModifiedBy>
  <cp:revision>7</cp:revision>
  <cp:lastPrinted>2019-10-30T05:12:00Z</cp:lastPrinted>
  <dcterms:created xsi:type="dcterms:W3CDTF">2019-10-24T08:16:00Z</dcterms:created>
  <dcterms:modified xsi:type="dcterms:W3CDTF">2019-10-30T05:12:00Z</dcterms:modified>
</cp:coreProperties>
</file>